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09" w:tblpY="2521"/>
        <w:tblW w:w="13824" w:type="dxa"/>
        <w:tblLook w:val="01E0" w:firstRow="1" w:lastRow="1" w:firstColumn="1" w:lastColumn="1" w:noHBand="0" w:noVBand="0"/>
      </w:tblPr>
      <w:tblGrid>
        <w:gridCol w:w="883"/>
        <w:gridCol w:w="2406"/>
        <w:gridCol w:w="3011"/>
        <w:gridCol w:w="2153"/>
        <w:gridCol w:w="1376"/>
        <w:gridCol w:w="2396"/>
        <w:gridCol w:w="1599"/>
      </w:tblGrid>
      <w:tr w:rsidR="008B4C81" w:rsidRPr="002D6104" w14:paraId="2C6583A2" w14:textId="77777777" w:rsidTr="009D22AB">
        <w:trPr>
          <w:trHeight w:val="3330"/>
        </w:trPr>
        <w:tc>
          <w:tcPr>
            <w:tcW w:w="763" w:type="dxa"/>
            <w:vMerge w:val="restart"/>
            <w:tcBorders>
              <w:top w:val="nil"/>
            </w:tcBorders>
          </w:tcPr>
          <w:p w14:paraId="58BD4DAB" w14:textId="77777777" w:rsidR="008B4C81" w:rsidRPr="002D6104" w:rsidRDefault="008B4C81" w:rsidP="009D22AB">
            <w:pPr>
              <w:rPr>
                <w:rFonts w:cs="Times New Roman"/>
                <w:b/>
              </w:rPr>
            </w:pPr>
            <w:r w:rsidRPr="002D6104">
              <w:rPr>
                <w:rFonts w:cs="Times New Roman"/>
                <w:b/>
              </w:rPr>
              <w:t>CNP</w:t>
            </w:r>
          </w:p>
          <w:p w14:paraId="71597E7F" w14:textId="77777777" w:rsidR="008B4C81" w:rsidRPr="002D6104" w:rsidRDefault="008B4C81" w:rsidP="009D22AB">
            <w:pPr>
              <w:rPr>
                <w:rFonts w:cs="Times New Roman"/>
              </w:rPr>
            </w:pPr>
          </w:p>
        </w:tc>
        <w:tc>
          <w:tcPr>
            <w:tcW w:w="2423" w:type="dxa"/>
            <w:vMerge w:val="restart"/>
            <w:tcBorders>
              <w:top w:val="nil"/>
            </w:tcBorders>
          </w:tcPr>
          <w:p w14:paraId="1156C520" w14:textId="77777777" w:rsidR="00171005" w:rsidRPr="002D6104" w:rsidRDefault="00171005" w:rsidP="009D22AB">
            <w:pPr>
              <w:spacing w:before="100" w:beforeAutospacing="1" w:after="100" w:afterAutospacing="1"/>
              <w:rPr>
                <w:rFonts w:eastAsia="Times New Roman" w:cs="Times New Roman"/>
                <w:b/>
              </w:rPr>
            </w:pPr>
            <w:r w:rsidRPr="002D6104">
              <w:rPr>
                <w:rFonts w:eastAsia="Times New Roman" w:cs="Times New Roman"/>
              </w:rPr>
              <w:t>Hospital, acute or ambulatory settings, outpatient settings, long-term care facilities &amp; nursing homes, Private homes/practices, Government &amp; community heal</w:t>
            </w:r>
            <w:r w:rsidR="002D6104">
              <w:rPr>
                <w:rFonts w:eastAsia="Times New Roman" w:cs="Times New Roman"/>
              </w:rPr>
              <w:t>th agencies, Universities, etc.</w:t>
            </w:r>
            <w:r w:rsidR="00B275B2" w:rsidRPr="002D6104">
              <w:rPr>
                <w:rFonts w:eastAsia="Times New Roman" w:cs="Times New Roman"/>
              </w:rPr>
              <w:t xml:space="preserve">  </w:t>
            </w:r>
            <w:r w:rsidR="00B275B2" w:rsidRPr="002D6104">
              <w:rPr>
                <w:rFonts w:eastAsia="Times New Roman" w:cs="Times New Roman"/>
                <w:b/>
              </w:rPr>
              <w:t>(1)</w:t>
            </w:r>
          </w:p>
          <w:p w14:paraId="48D5212F" w14:textId="77777777" w:rsidR="008B4C81" w:rsidRPr="002D6104" w:rsidRDefault="008B4C81" w:rsidP="009D22AB">
            <w:pPr>
              <w:spacing w:before="100" w:beforeAutospacing="1" w:after="100" w:afterAutospacing="1"/>
              <w:rPr>
                <w:rFonts w:cs="Times New Roman"/>
              </w:rPr>
            </w:pPr>
          </w:p>
        </w:tc>
        <w:tc>
          <w:tcPr>
            <w:tcW w:w="3045" w:type="dxa"/>
            <w:tcBorders>
              <w:top w:val="nil"/>
              <w:bottom w:val="nil"/>
            </w:tcBorders>
          </w:tcPr>
          <w:p w14:paraId="3366E9A2" w14:textId="77777777" w:rsidR="008B4C81" w:rsidRPr="002D6104" w:rsidRDefault="008B4C81" w:rsidP="009D22AB">
            <w:pPr>
              <w:rPr>
                <w:rFonts w:cs="Times New Roman"/>
              </w:rPr>
            </w:pPr>
            <w:r w:rsidRPr="002D6104">
              <w:rPr>
                <w:rFonts w:cs="Times New Roman"/>
              </w:rPr>
              <w:t>Each NP is accountable to patients, the nursing profession, and the state board of nursing. NP’s are required to practice with an ethical code of conduct, national certification, evidence based principles, and current practice standards.</w:t>
            </w:r>
            <w:r w:rsidR="002D6104" w:rsidRPr="002D6104">
              <w:rPr>
                <w:rFonts w:cs="Times New Roman"/>
              </w:rPr>
              <w:t xml:space="preserve"> </w:t>
            </w:r>
            <w:r w:rsidR="00C46EF7" w:rsidRPr="002D6104">
              <w:rPr>
                <w:rFonts w:eastAsia="Times New Roman" w:cs="Times New Roman"/>
                <w:b/>
                <w:shd w:val="clear" w:color="auto" w:fill="FFFFFF"/>
              </w:rPr>
              <w:t>(1)</w:t>
            </w:r>
          </w:p>
        </w:tc>
        <w:tc>
          <w:tcPr>
            <w:tcW w:w="2158" w:type="dxa"/>
            <w:vMerge w:val="restart"/>
            <w:tcBorders>
              <w:top w:val="nil"/>
            </w:tcBorders>
          </w:tcPr>
          <w:p w14:paraId="0E1DB25D" w14:textId="77777777" w:rsidR="00171005" w:rsidRPr="002D6104" w:rsidRDefault="00171005" w:rsidP="009D22AB">
            <w:pPr>
              <w:spacing w:before="100" w:beforeAutospacing="1" w:after="100" w:afterAutospacing="1"/>
              <w:rPr>
                <w:rFonts w:eastAsia="Times New Roman" w:cs="Times New Roman"/>
              </w:rPr>
            </w:pPr>
            <w:r w:rsidRPr="002D6104">
              <w:rPr>
                <w:rFonts w:eastAsia="Times New Roman" w:cs="Times New Roman"/>
              </w:rPr>
              <w:t>Family: Primary or Acute, Pediatric: Primary or Acute, Neonatal, Adult-Gerontology: Primary or Acute</w:t>
            </w:r>
          </w:p>
          <w:p w14:paraId="24504A57" w14:textId="77777777" w:rsidR="008B4C81" w:rsidRPr="002D6104" w:rsidRDefault="008B4C81" w:rsidP="009D22AB">
            <w:pPr>
              <w:rPr>
                <w:rFonts w:cs="Times New Roman"/>
              </w:rPr>
            </w:pPr>
            <w:bookmarkStart w:id="0" w:name="_GoBack"/>
            <w:bookmarkEnd w:id="0"/>
          </w:p>
        </w:tc>
        <w:tc>
          <w:tcPr>
            <w:tcW w:w="1376" w:type="dxa"/>
            <w:vMerge w:val="restart"/>
            <w:tcBorders>
              <w:top w:val="nil"/>
              <w:right w:val="single" w:sz="2" w:space="0" w:color="auto"/>
            </w:tcBorders>
          </w:tcPr>
          <w:p w14:paraId="3740BA0E" w14:textId="77777777" w:rsidR="00171005" w:rsidRPr="002D6104" w:rsidRDefault="00212940" w:rsidP="009D22AB">
            <w:pPr>
              <w:rPr>
                <w:rFonts w:eastAsia="Times New Roman" w:cs="Times New Roman"/>
              </w:rPr>
            </w:pPr>
            <w:r w:rsidRPr="002D6104">
              <w:rPr>
                <w:rFonts w:eastAsia="Times New Roman" w:cs="Times New Roman"/>
                <w:shd w:val="clear" w:color="auto" w:fill="FFFFFF"/>
              </w:rPr>
              <w:t xml:space="preserve">Median salary: $107,030. </w:t>
            </w:r>
            <w:r w:rsidR="00171005" w:rsidRPr="002D6104">
              <w:rPr>
                <w:rFonts w:eastAsia="Times New Roman" w:cs="Times New Roman"/>
                <w:shd w:val="clear" w:color="auto" w:fill="FFFFFF"/>
              </w:rPr>
              <w:t xml:space="preserve"> Range: $85,880 to $143,480</w:t>
            </w:r>
          </w:p>
          <w:p w14:paraId="492E8BBE" w14:textId="77777777" w:rsidR="00171005" w:rsidRPr="002D6104" w:rsidRDefault="00171005" w:rsidP="009D22AB">
            <w:pPr>
              <w:rPr>
                <w:rFonts w:eastAsia="Times New Roman" w:cs="Times New Roman"/>
                <w:shd w:val="clear" w:color="auto" w:fill="FFFFFF"/>
              </w:rPr>
            </w:pPr>
          </w:p>
          <w:p w14:paraId="19B3DE01" w14:textId="77777777" w:rsidR="003F6903" w:rsidRPr="002D6104" w:rsidRDefault="00171005" w:rsidP="009D22AB">
            <w:pPr>
              <w:rPr>
                <w:rFonts w:eastAsia="Times New Roman" w:cs="Times New Roman"/>
                <w:shd w:val="clear" w:color="auto" w:fill="FFFFFF"/>
              </w:rPr>
            </w:pPr>
            <w:r w:rsidRPr="002D6104">
              <w:rPr>
                <w:rFonts w:eastAsia="Times New Roman" w:cs="Times New Roman"/>
                <w:shd w:val="clear" w:color="auto" w:fill="FFFFFF"/>
              </w:rPr>
              <w:t>*California: $</w:t>
            </w:r>
            <w:r w:rsidR="00CC7EC0" w:rsidRPr="002D6104">
              <w:rPr>
                <w:rFonts w:eastAsia="Times New Roman" w:cs="Times New Roman"/>
                <w:shd w:val="clear" w:color="auto" w:fill="FFFFFF"/>
              </w:rPr>
              <w:t>133,780</w:t>
            </w:r>
          </w:p>
          <w:p w14:paraId="24588802" w14:textId="77777777" w:rsidR="008B4C81" w:rsidRPr="002D6104" w:rsidRDefault="002D6104" w:rsidP="009D22AB">
            <w:pPr>
              <w:rPr>
                <w:rFonts w:cs="Times New Roman"/>
              </w:rPr>
            </w:pPr>
            <w:r w:rsidRPr="002D6104">
              <w:rPr>
                <w:rFonts w:eastAsia="Times New Roman" w:cs="Times New Roman"/>
                <w:b/>
                <w:shd w:val="clear" w:color="auto" w:fill="FFFFFF"/>
              </w:rPr>
              <w:t>(4)</w:t>
            </w:r>
          </w:p>
        </w:tc>
        <w:tc>
          <w:tcPr>
            <w:tcW w:w="2420" w:type="dxa"/>
            <w:vMerge w:val="restart"/>
            <w:tcBorders>
              <w:top w:val="nil"/>
              <w:left w:val="single" w:sz="2" w:space="0" w:color="auto"/>
              <w:right w:val="nil"/>
            </w:tcBorders>
          </w:tcPr>
          <w:p w14:paraId="73667EAE" w14:textId="77777777" w:rsidR="008B4C81" w:rsidRPr="002D6104" w:rsidRDefault="00171005" w:rsidP="009D22AB">
            <w:pPr>
              <w:rPr>
                <w:rFonts w:cs="Times New Roman"/>
              </w:rPr>
            </w:pPr>
            <w:r w:rsidRPr="002D6104">
              <w:rPr>
                <w:rFonts w:cs="Times New Roman"/>
              </w:rPr>
              <w:t>As a licensed, independent practitioner, NP’s practice autonomously and in coordination with healthcare professionals and other individuals.</w:t>
            </w:r>
          </w:p>
          <w:p w14:paraId="3E16BDC4" w14:textId="77777777" w:rsidR="00171005" w:rsidRPr="002D6104" w:rsidRDefault="00CC7EC0" w:rsidP="009D22AB">
            <w:pPr>
              <w:rPr>
                <w:rFonts w:eastAsia="Times New Roman" w:cs="Times New Roman"/>
              </w:rPr>
            </w:pPr>
            <w:r w:rsidRPr="002D6104">
              <w:rPr>
                <w:rFonts w:eastAsia="Times New Roman" w:cs="Times New Roman"/>
                <w:shd w:val="clear" w:color="auto" w:fill="FFFFFF"/>
              </w:rPr>
              <w:t>*</w:t>
            </w:r>
            <w:r w:rsidR="00171005" w:rsidRPr="002D6104">
              <w:rPr>
                <w:rFonts w:eastAsia="Times New Roman" w:cs="Times New Roman"/>
                <w:shd w:val="clear" w:color="auto" w:fill="FFFFFF"/>
              </w:rPr>
              <w:t>NPs must have a medical doctor si</w:t>
            </w:r>
            <w:r w:rsidR="00C46EF7" w:rsidRPr="002D6104">
              <w:rPr>
                <w:rFonts w:eastAsia="Times New Roman" w:cs="Times New Roman"/>
                <w:shd w:val="clear" w:color="auto" w:fill="FFFFFF"/>
              </w:rPr>
              <w:t xml:space="preserve">gn certain medical patient care. </w:t>
            </w:r>
            <w:r w:rsidR="00C46EF7" w:rsidRPr="002D6104">
              <w:rPr>
                <w:rFonts w:eastAsia="Times New Roman" w:cs="Times New Roman"/>
                <w:b/>
                <w:shd w:val="clear" w:color="auto" w:fill="FFFFFF"/>
              </w:rPr>
              <w:t>(1</w:t>
            </w:r>
            <w:r w:rsidR="002D6104" w:rsidRPr="002D6104">
              <w:rPr>
                <w:rFonts w:eastAsia="Times New Roman" w:cs="Times New Roman"/>
                <w:b/>
                <w:shd w:val="clear" w:color="auto" w:fill="FFFFFF"/>
              </w:rPr>
              <w:t>)</w:t>
            </w:r>
            <w:r w:rsidR="002D6104" w:rsidRPr="002D6104">
              <w:rPr>
                <w:rFonts w:eastAsia="Times New Roman" w:cs="Times New Roman"/>
                <w:shd w:val="clear" w:color="auto" w:fill="FFFFFF"/>
              </w:rPr>
              <w:t xml:space="preserve"> </w:t>
            </w:r>
            <w:proofErr w:type="gramStart"/>
            <w:r w:rsidR="002D6104" w:rsidRPr="002D6104">
              <w:rPr>
                <w:rFonts w:eastAsia="Times New Roman" w:cs="Times New Roman"/>
                <w:shd w:val="clear" w:color="auto" w:fill="FFFFFF"/>
              </w:rPr>
              <w:t>decisions</w:t>
            </w:r>
            <w:proofErr w:type="gramEnd"/>
            <w:r w:rsidR="00171005" w:rsidRPr="002D6104">
              <w:rPr>
                <w:rFonts w:eastAsia="Times New Roman" w:cs="Times New Roman"/>
                <w:shd w:val="clear" w:color="auto" w:fill="FFFFFF"/>
              </w:rPr>
              <w:t>. </w:t>
            </w:r>
          </w:p>
          <w:p w14:paraId="097AD90E" w14:textId="77777777" w:rsidR="00171005" w:rsidRPr="002D6104" w:rsidRDefault="00171005" w:rsidP="009D22AB">
            <w:pPr>
              <w:rPr>
                <w:rFonts w:cs="Times New Roman"/>
              </w:rPr>
            </w:pPr>
          </w:p>
        </w:tc>
        <w:tc>
          <w:tcPr>
            <w:tcW w:w="1639" w:type="dxa"/>
            <w:vMerge w:val="restart"/>
            <w:tcBorders>
              <w:top w:val="nil"/>
              <w:right w:val="nil"/>
            </w:tcBorders>
          </w:tcPr>
          <w:p w14:paraId="48E5A130" w14:textId="77777777" w:rsidR="008B4C81" w:rsidRPr="002D6104" w:rsidRDefault="008B4C81" w:rsidP="009D22AB">
            <w:pPr>
              <w:rPr>
                <w:rFonts w:cs="Times New Roman"/>
              </w:rPr>
            </w:pPr>
          </w:p>
        </w:tc>
      </w:tr>
      <w:tr w:rsidR="008B4C81" w:rsidRPr="002D6104" w14:paraId="7ADB51BF" w14:textId="77777777" w:rsidTr="009D22AB">
        <w:trPr>
          <w:trHeight w:hRule="exact" w:val="10"/>
        </w:trPr>
        <w:tc>
          <w:tcPr>
            <w:tcW w:w="763" w:type="dxa"/>
            <w:vMerge/>
          </w:tcPr>
          <w:p w14:paraId="4D77A57C" w14:textId="77777777" w:rsidR="008B4C81" w:rsidRPr="002D6104" w:rsidRDefault="008B4C81" w:rsidP="009D22AB">
            <w:pPr>
              <w:rPr>
                <w:rFonts w:cs="Times New Roman"/>
              </w:rPr>
            </w:pPr>
          </w:p>
        </w:tc>
        <w:tc>
          <w:tcPr>
            <w:tcW w:w="2423" w:type="dxa"/>
            <w:vMerge/>
            <w:tcBorders>
              <w:bottom w:val="single" w:sz="2" w:space="0" w:color="auto"/>
            </w:tcBorders>
          </w:tcPr>
          <w:p w14:paraId="02145267" w14:textId="77777777" w:rsidR="008B4C81" w:rsidRPr="002D6104" w:rsidRDefault="008B4C81" w:rsidP="009D22AB">
            <w:pPr>
              <w:rPr>
                <w:rFonts w:cs="Times New Roman"/>
              </w:rPr>
            </w:pPr>
          </w:p>
        </w:tc>
        <w:tc>
          <w:tcPr>
            <w:tcW w:w="3045" w:type="dxa"/>
            <w:tcBorders>
              <w:top w:val="nil"/>
            </w:tcBorders>
          </w:tcPr>
          <w:p w14:paraId="60A9F06A" w14:textId="77777777" w:rsidR="008B4C81" w:rsidRPr="002D6104" w:rsidRDefault="008B4C81" w:rsidP="009D22AB">
            <w:pPr>
              <w:rPr>
                <w:rFonts w:cs="Times New Roman"/>
              </w:rPr>
            </w:pPr>
          </w:p>
        </w:tc>
        <w:tc>
          <w:tcPr>
            <w:tcW w:w="2158" w:type="dxa"/>
            <w:vMerge/>
          </w:tcPr>
          <w:p w14:paraId="7278F8C9" w14:textId="77777777" w:rsidR="008B4C81" w:rsidRPr="002D6104" w:rsidRDefault="008B4C81" w:rsidP="009D22AB">
            <w:pPr>
              <w:rPr>
                <w:rFonts w:cs="Times New Roman"/>
              </w:rPr>
            </w:pPr>
          </w:p>
        </w:tc>
        <w:tc>
          <w:tcPr>
            <w:tcW w:w="1376" w:type="dxa"/>
            <w:vMerge/>
            <w:tcBorders>
              <w:right w:val="single" w:sz="2" w:space="0" w:color="auto"/>
            </w:tcBorders>
          </w:tcPr>
          <w:p w14:paraId="25ED258A" w14:textId="77777777" w:rsidR="008B4C81" w:rsidRPr="002D6104" w:rsidRDefault="008B4C81" w:rsidP="009D22AB">
            <w:pPr>
              <w:rPr>
                <w:rFonts w:cs="Times New Roman"/>
              </w:rPr>
            </w:pPr>
          </w:p>
        </w:tc>
        <w:tc>
          <w:tcPr>
            <w:tcW w:w="2420" w:type="dxa"/>
            <w:vMerge/>
            <w:tcBorders>
              <w:left w:val="single" w:sz="2" w:space="0" w:color="auto"/>
              <w:right w:val="nil"/>
            </w:tcBorders>
          </w:tcPr>
          <w:p w14:paraId="15C5F5FA" w14:textId="77777777" w:rsidR="008B4C81" w:rsidRPr="002D6104" w:rsidRDefault="008B4C81" w:rsidP="009D22AB">
            <w:pPr>
              <w:rPr>
                <w:rFonts w:cs="Times New Roman"/>
              </w:rPr>
            </w:pPr>
          </w:p>
        </w:tc>
        <w:tc>
          <w:tcPr>
            <w:tcW w:w="1639" w:type="dxa"/>
            <w:vMerge/>
            <w:tcBorders>
              <w:right w:val="nil"/>
            </w:tcBorders>
          </w:tcPr>
          <w:p w14:paraId="667A3F4D" w14:textId="77777777" w:rsidR="008B4C81" w:rsidRPr="002D6104" w:rsidRDefault="008B4C81" w:rsidP="009D22AB">
            <w:pPr>
              <w:rPr>
                <w:rFonts w:cs="Times New Roman"/>
              </w:rPr>
            </w:pPr>
          </w:p>
        </w:tc>
      </w:tr>
      <w:tr w:rsidR="008B4C81" w:rsidRPr="002D6104" w14:paraId="51952883" w14:textId="77777777" w:rsidTr="009D22AB">
        <w:trPr>
          <w:trHeight w:val="2512"/>
        </w:trPr>
        <w:tc>
          <w:tcPr>
            <w:tcW w:w="763" w:type="dxa"/>
          </w:tcPr>
          <w:p w14:paraId="4ADC185A" w14:textId="77777777" w:rsidR="008B4C81" w:rsidRPr="002D6104" w:rsidRDefault="00D706B1" w:rsidP="009D22AB">
            <w:pPr>
              <w:rPr>
                <w:rFonts w:cs="Times New Roman"/>
                <w:b/>
              </w:rPr>
            </w:pPr>
            <w:r w:rsidRPr="002D6104">
              <w:rPr>
                <w:rFonts w:cs="Times New Roman"/>
                <w:b/>
              </w:rPr>
              <w:t>CNS</w:t>
            </w:r>
          </w:p>
        </w:tc>
        <w:tc>
          <w:tcPr>
            <w:tcW w:w="2423" w:type="dxa"/>
            <w:tcBorders>
              <w:top w:val="single" w:sz="2" w:space="0" w:color="auto"/>
            </w:tcBorders>
          </w:tcPr>
          <w:p w14:paraId="789F1A38" w14:textId="77777777" w:rsidR="00D706B1" w:rsidRPr="002D6104" w:rsidRDefault="00D706B1" w:rsidP="009D22AB">
            <w:pPr>
              <w:rPr>
                <w:rFonts w:cs="Times New Roman"/>
                <w:b/>
              </w:rPr>
            </w:pPr>
            <w:r w:rsidRPr="002D6104">
              <w:rPr>
                <w:rFonts w:cs="Times New Roman"/>
              </w:rPr>
              <w:t>Expert clinicians with advanced education and training in a specialized area of nursing practice who work in a variety of health care settings such as critical care,</w:t>
            </w:r>
            <w:r w:rsidR="00B275B2" w:rsidRPr="002D6104">
              <w:rPr>
                <w:rFonts w:cs="Times New Roman"/>
              </w:rPr>
              <w:t xml:space="preserve"> emergency room, rehab </w:t>
            </w:r>
            <w:r w:rsidRPr="002D6104">
              <w:rPr>
                <w:rFonts w:cs="Times New Roman"/>
              </w:rPr>
              <w:t>centers</w:t>
            </w:r>
            <w:r w:rsidR="00B275B2" w:rsidRPr="002D6104">
              <w:rPr>
                <w:rFonts w:cs="Times New Roman"/>
              </w:rPr>
              <w:t xml:space="preserve">. </w:t>
            </w:r>
            <w:r w:rsidR="00B275B2" w:rsidRPr="002D6104">
              <w:rPr>
                <w:rFonts w:cs="Times New Roman"/>
                <w:b/>
              </w:rPr>
              <w:t>(2)</w:t>
            </w:r>
          </w:p>
        </w:tc>
        <w:tc>
          <w:tcPr>
            <w:tcW w:w="3045" w:type="dxa"/>
          </w:tcPr>
          <w:p w14:paraId="0ABDDB45" w14:textId="77777777" w:rsidR="008B4C81" w:rsidRPr="002D6104" w:rsidRDefault="00171005" w:rsidP="009D22AB">
            <w:pPr>
              <w:rPr>
                <w:rFonts w:cs="Times New Roman"/>
              </w:rPr>
            </w:pPr>
            <w:r w:rsidRPr="002D6104">
              <w:rPr>
                <w:rFonts w:cs="Times New Roman"/>
              </w:rPr>
              <w:t xml:space="preserve">CNS’s </w:t>
            </w:r>
            <w:r w:rsidRPr="002D6104">
              <w:rPr>
                <w:rFonts w:eastAsia="Times New Roman" w:cs="Times New Roman"/>
                <w:shd w:val="clear" w:color="auto" w:fill="FFFFFF"/>
              </w:rPr>
              <w:t>strive to improve healthcare through evidence-based practice at the individual patient and systems levels.</w:t>
            </w:r>
            <w:r w:rsidRPr="002D6104">
              <w:rPr>
                <w:rFonts w:eastAsia="Times New Roman" w:cs="Times New Roman"/>
              </w:rPr>
              <w:t xml:space="preserve"> Diagnosis and treatment, health promotion and wellness, conduct research and share findings, maintain patient records</w:t>
            </w:r>
            <w:r w:rsidR="00CC7EC0" w:rsidRPr="002D6104">
              <w:rPr>
                <w:rFonts w:eastAsia="Times New Roman" w:cs="Times New Roman"/>
              </w:rPr>
              <w:t>.</w:t>
            </w:r>
            <w:r w:rsidR="002D6104" w:rsidRPr="002D6104">
              <w:rPr>
                <w:rFonts w:eastAsia="Times New Roman" w:cs="Times New Roman"/>
              </w:rPr>
              <w:t xml:space="preserve"> </w:t>
            </w:r>
            <w:r w:rsidR="002D6104" w:rsidRPr="002D6104">
              <w:rPr>
                <w:rFonts w:cs="Times New Roman"/>
                <w:b/>
              </w:rPr>
              <w:t>(2)</w:t>
            </w:r>
          </w:p>
        </w:tc>
        <w:tc>
          <w:tcPr>
            <w:tcW w:w="2158" w:type="dxa"/>
          </w:tcPr>
          <w:p w14:paraId="3091A289" w14:textId="77777777" w:rsidR="008B4C81" w:rsidRPr="002D6104" w:rsidRDefault="0094298B" w:rsidP="009D22AB">
            <w:pPr>
              <w:rPr>
                <w:rFonts w:cs="Times New Roman"/>
              </w:rPr>
            </w:pPr>
            <w:r w:rsidRPr="002D6104">
              <w:rPr>
                <w:rFonts w:eastAsia="Times New Roman" w:cs="Times New Roman"/>
                <w:shd w:val="clear" w:color="auto" w:fill="FFFFFF"/>
              </w:rPr>
              <w:t>Adult/gerontology or pediatrics</w:t>
            </w:r>
          </w:p>
        </w:tc>
        <w:tc>
          <w:tcPr>
            <w:tcW w:w="1376" w:type="dxa"/>
          </w:tcPr>
          <w:p w14:paraId="5E152BA6" w14:textId="77777777" w:rsidR="00212940" w:rsidRPr="002D6104" w:rsidRDefault="0094298B" w:rsidP="009D22AB">
            <w:pPr>
              <w:rPr>
                <w:rFonts w:eastAsia="Times New Roman" w:cs="Times New Roman"/>
                <w:shd w:val="clear" w:color="auto" w:fill="FFFFFF"/>
              </w:rPr>
            </w:pPr>
            <w:r w:rsidRPr="002D6104">
              <w:rPr>
                <w:rFonts w:eastAsia="Times New Roman" w:cs="Times New Roman"/>
                <w:shd w:val="clear" w:color="auto" w:fill="FFFFFF"/>
              </w:rPr>
              <w:t>M</w:t>
            </w:r>
            <w:r w:rsidR="00212940" w:rsidRPr="002D6104">
              <w:rPr>
                <w:rFonts w:eastAsia="Times New Roman" w:cs="Times New Roman"/>
                <w:shd w:val="clear" w:color="auto" w:fill="FFFFFF"/>
              </w:rPr>
              <w:t>edian salary - $104,763. Range:</w:t>
            </w:r>
          </w:p>
          <w:p w14:paraId="6D385CE3" w14:textId="77777777" w:rsidR="0094298B" w:rsidRPr="002D6104" w:rsidRDefault="0094298B" w:rsidP="009D22AB">
            <w:pPr>
              <w:rPr>
                <w:rFonts w:eastAsia="Times New Roman" w:cs="Times New Roman"/>
              </w:rPr>
            </w:pPr>
            <w:r w:rsidRPr="002D6104">
              <w:rPr>
                <w:rFonts w:eastAsia="Times New Roman" w:cs="Times New Roman"/>
                <w:shd w:val="clear" w:color="auto" w:fill="FFFFFF"/>
              </w:rPr>
              <w:t>$94,720 to $114,754</w:t>
            </w:r>
          </w:p>
          <w:p w14:paraId="26506BA6" w14:textId="77777777" w:rsidR="00212940"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*California:</w:t>
            </w:r>
          </w:p>
          <w:p w14:paraId="763E8A74" w14:textId="77777777" w:rsidR="00212940"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$117,785</w:t>
            </w:r>
          </w:p>
          <w:p w14:paraId="58528B76" w14:textId="77777777" w:rsidR="008B4C81" w:rsidRPr="002D6104" w:rsidRDefault="002D6104" w:rsidP="009D22AB">
            <w:pPr>
              <w:rPr>
                <w:rFonts w:cs="Times New Roman"/>
              </w:rPr>
            </w:pPr>
            <w:r w:rsidRPr="002D6104">
              <w:rPr>
                <w:rFonts w:eastAsia="Times New Roman" w:cs="Times New Roman"/>
                <w:b/>
                <w:shd w:val="clear" w:color="auto" w:fill="FFFFFF"/>
              </w:rPr>
              <w:t>(4)</w:t>
            </w:r>
          </w:p>
        </w:tc>
        <w:tc>
          <w:tcPr>
            <w:tcW w:w="2420" w:type="dxa"/>
          </w:tcPr>
          <w:p w14:paraId="20D1B43B" w14:textId="7B63B8BB" w:rsidR="007D6DEF" w:rsidRPr="007D6DEF" w:rsidRDefault="007D6DEF" w:rsidP="007D6DEF">
            <w:pPr>
              <w:rPr>
                <w:rFonts w:eastAsia="Times New Roman" w:cs="Times New Roman"/>
              </w:rPr>
            </w:pPr>
            <w:r w:rsidRPr="007D6DEF">
              <w:rPr>
                <w:rFonts w:eastAsia="Times New Roman" w:cs="Times New Roman"/>
                <w:color w:val="000000"/>
                <w:shd w:val="clear" w:color="auto" w:fill="FFFFFF"/>
              </w:rPr>
              <w:t>Clinical nurse specialists work in direct &amp; indirect patient care activities that affect a broad range of patients.</w:t>
            </w:r>
          </w:p>
          <w:p w14:paraId="71BD0980" w14:textId="0964D729" w:rsidR="008B4C81" w:rsidRPr="002D6104" w:rsidRDefault="0094298B" w:rsidP="009D22AB">
            <w:pPr>
              <w:rPr>
                <w:rFonts w:cs="Times New Roman"/>
              </w:rPr>
            </w:pPr>
            <w:r w:rsidRPr="002D6104">
              <w:rPr>
                <w:rFonts w:eastAsia="Times New Roman" w:cs="Times New Roman"/>
                <w:shd w:val="clear" w:color="auto" w:fill="FFFFFF"/>
              </w:rPr>
              <w:t xml:space="preserve">*No prescriptive authority in </w:t>
            </w:r>
            <w:r w:rsidR="00CC7EC0" w:rsidRPr="002D6104">
              <w:rPr>
                <w:rFonts w:eastAsia="Times New Roman" w:cs="Times New Roman"/>
                <w:shd w:val="clear" w:color="auto" w:fill="FFFFFF"/>
              </w:rPr>
              <w:t>California.</w:t>
            </w:r>
            <w:r w:rsidR="002D6104" w:rsidRPr="002D6104">
              <w:rPr>
                <w:rFonts w:eastAsia="Times New Roman" w:cs="Times New Roman"/>
                <w:shd w:val="clear" w:color="auto" w:fill="FFFFFF"/>
              </w:rPr>
              <w:t xml:space="preserve"> </w:t>
            </w:r>
            <w:r w:rsidR="002D6104" w:rsidRPr="002D6104">
              <w:rPr>
                <w:rFonts w:cs="Times New Roman"/>
                <w:b/>
              </w:rPr>
              <w:t>(2)</w:t>
            </w:r>
          </w:p>
        </w:tc>
        <w:tc>
          <w:tcPr>
            <w:tcW w:w="1639" w:type="dxa"/>
          </w:tcPr>
          <w:p w14:paraId="7C227952" w14:textId="77777777" w:rsidR="008B4C81" w:rsidRPr="002D6104" w:rsidRDefault="008B4C81" w:rsidP="009D22AB">
            <w:pPr>
              <w:rPr>
                <w:rFonts w:cs="Times New Roman"/>
              </w:rPr>
            </w:pPr>
          </w:p>
        </w:tc>
      </w:tr>
      <w:tr w:rsidR="009D22AB" w:rsidRPr="002D6104" w14:paraId="6B34A49F" w14:textId="77777777" w:rsidTr="009D22AB">
        <w:trPr>
          <w:trHeight w:val="3080"/>
        </w:trPr>
        <w:tc>
          <w:tcPr>
            <w:tcW w:w="763" w:type="dxa"/>
            <w:tcBorders>
              <w:bottom w:val="single" w:sz="6" w:space="0" w:color="auto"/>
            </w:tcBorders>
          </w:tcPr>
          <w:p w14:paraId="62400ED1" w14:textId="77777777" w:rsidR="009D22AB" w:rsidRPr="002D6104" w:rsidRDefault="009D22AB" w:rsidP="009D22AB">
            <w:pPr>
              <w:rPr>
                <w:rFonts w:cs="Times New Roman"/>
              </w:rPr>
            </w:pPr>
            <w:r w:rsidRPr="002D6104">
              <w:rPr>
                <w:rFonts w:cs="Times New Roman"/>
              </w:rPr>
              <w:t>CRNA</w:t>
            </w:r>
          </w:p>
        </w:tc>
        <w:tc>
          <w:tcPr>
            <w:tcW w:w="2423" w:type="dxa"/>
            <w:tcBorders>
              <w:bottom w:val="single" w:sz="6" w:space="0" w:color="auto"/>
            </w:tcBorders>
          </w:tcPr>
          <w:p w14:paraId="4E8550FA" w14:textId="77777777" w:rsidR="009D22AB" w:rsidRPr="002D6104" w:rsidRDefault="009D22AB" w:rsidP="009D22AB">
            <w:pPr>
              <w:rPr>
                <w:rFonts w:cs="Times New Roman"/>
              </w:rPr>
            </w:pPr>
            <w:r w:rsidRPr="002D6104">
              <w:rPr>
                <w:rFonts w:cs="Times New Roman"/>
              </w:rPr>
              <w:t>CRNAs work in collaboration with other qualified health care providers in hospitals, surgical centers and office settings around the state.</w:t>
            </w:r>
            <w:r w:rsidR="00B275B2" w:rsidRPr="002D6104">
              <w:rPr>
                <w:rFonts w:cs="Times New Roman"/>
              </w:rPr>
              <w:t xml:space="preserve"> </w:t>
            </w:r>
            <w:r w:rsidR="00B275B2" w:rsidRPr="002D6104">
              <w:rPr>
                <w:rFonts w:cs="Times New Roman"/>
                <w:b/>
              </w:rPr>
              <w:t>(3)</w:t>
            </w:r>
          </w:p>
        </w:tc>
        <w:tc>
          <w:tcPr>
            <w:tcW w:w="3045" w:type="dxa"/>
            <w:tcBorders>
              <w:bottom w:val="single" w:sz="6" w:space="0" w:color="auto"/>
            </w:tcBorders>
          </w:tcPr>
          <w:p w14:paraId="6B80539F" w14:textId="77777777" w:rsidR="009D22AB" w:rsidRPr="002D6104" w:rsidRDefault="009D22AB" w:rsidP="009D22AB">
            <w:pPr>
              <w:rPr>
                <w:rFonts w:cs="Times New Roman"/>
              </w:rPr>
            </w:pPr>
            <w:r w:rsidRPr="002D6104">
              <w:rPr>
                <w:rFonts w:eastAsia="Times New Roman" w:cs="Times New Roman"/>
              </w:rPr>
              <w:t>CRNAs are highly-trained advanced practice nurse specialists that are required to complete six to seven years of education, hundreds of hours of clinical work, and a minimum of 450 anesthetics before they qualify to sit for their national certification examination</w:t>
            </w:r>
            <w:r w:rsidR="002D6104" w:rsidRPr="002D6104">
              <w:rPr>
                <w:rFonts w:eastAsia="Times New Roman" w:cs="Times New Roman"/>
              </w:rPr>
              <w:t xml:space="preserve">. </w:t>
            </w:r>
            <w:r w:rsidR="002D6104" w:rsidRPr="002D6104">
              <w:rPr>
                <w:rFonts w:cs="Times New Roman"/>
                <w:b/>
              </w:rPr>
              <w:t>(3)</w:t>
            </w:r>
          </w:p>
        </w:tc>
        <w:tc>
          <w:tcPr>
            <w:tcW w:w="2158" w:type="dxa"/>
            <w:tcBorders>
              <w:bottom w:val="single" w:sz="6" w:space="0" w:color="auto"/>
            </w:tcBorders>
          </w:tcPr>
          <w:p w14:paraId="3514DB92" w14:textId="77777777" w:rsidR="009D22AB" w:rsidRPr="002D6104" w:rsidRDefault="009D22AB" w:rsidP="009D22AB">
            <w:pPr>
              <w:rPr>
                <w:rFonts w:cs="Times New Roman"/>
              </w:rPr>
            </w:pPr>
            <w:r w:rsidRPr="002D6104">
              <w:rPr>
                <w:rFonts w:eastAsia="Times New Roman" w:cs="Times New Roman"/>
                <w:shd w:val="clear" w:color="auto" w:fill="FFFFFF"/>
              </w:rPr>
              <w:t>Adult/gerontology or pediatrics</w:t>
            </w:r>
          </w:p>
        </w:tc>
        <w:tc>
          <w:tcPr>
            <w:tcW w:w="1376" w:type="dxa"/>
            <w:tcBorders>
              <w:bottom w:val="single" w:sz="6" w:space="0" w:color="auto"/>
            </w:tcBorders>
          </w:tcPr>
          <w:p w14:paraId="7C383D96" w14:textId="77777777" w:rsidR="009D22AB"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 xml:space="preserve"> Range: $188,323 to</w:t>
            </w:r>
            <w:r w:rsidR="009D22AB" w:rsidRPr="002D6104">
              <w:rPr>
                <w:rFonts w:eastAsia="Times New Roman" w:cs="Times New Roman"/>
                <w:shd w:val="clear" w:color="auto" w:fill="FFFFFF"/>
              </w:rPr>
              <w:t xml:space="preserve"> $223,543</w:t>
            </w:r>
          </w:p>
          <w:p w14:paraId="149FA39F" w14:textId="77777777" w:rsidR="009D22AB" w:rsidRPr="002D6104" w:rsidRDefault="009D22AB" w:rsidP="009D22AB">
            <w:pPr>
              <w:rPr>
                <w:rFonts w:cs="Times New Roman"/>
              </w:rPr>
            </w:pPr>
          </w:p>
          <w:p w14:paraId="4B54D59D" w14:textId="77777777" w:rsidR="009D22AB" w:rsidRPr="002D6104" w:rsidRDefault="009D22AB" w:rsidP="009D22AB">
            <w:pPr>
              <w:rPr>
                <w:rFonts w:eastAsia="Times New Roman" w:cs="Times New Roman"/>
                <w:shd w:val="clear" w:color="auto" w:fill="FFFFFF"/>
              </w:rPr>
            </w:pPr>
            <w:r w:rsidRPr="002D6104">
              <w:rPr>
                <w:rFonts w:cs="Times New Roman"/>
              </w:rPr>
              <w:t>*</w:t>
            </w:r>
            <w:r w:rsidRPr="002D6104">
              <w:rPr>
                <w:rFonts w:eastAsia="Times New Roman" w:cs="Times New Roman"/>
                <w:shd w:val="clear" w:color="auto" w:fill="FFFFFF"/>
              </w:rPr>
              <w:t xml:space="preserve">California: $204,917 </w:t>
            </w:r>
          </w:p>
          <w:p w14:paraId="1093D37C" w14:textId="77777777" w:rsidR="009D22AB" w:rsidRPr="002D6104" w:rsidRDefault="002D6104" w:rsidP="009D22AB">
            <w:pPr>
              <w:rPr>
                <w:rFonts w:cs="Times New Roman"/>
              </w:rPr>
            </w:pPr>
            <w:r w:rsidRPr="002D6104">
              <w:rPr>
                <w:rFonts w:eastAsia="Times New Roman" w:cs="Times New Roman"/>
                <w:b/>
                <w:shd w:val="clear" w:color="auto" w:fill="FFFFFF"/>
              </w:rPr>
              <w:t>(4)</w:t>
            </w:r>
          </w:p>
        </w:tc>
        <w:tc>
          <w:tcPr>
            <w:tcW w:w="2420" w:type="dxa"/>
            <w:tcBorders>
              <w:bottom w:val="single" w:sz="6" w:space="0" w:color="auto"/>
            </w:tcBorders>
          </w:tcPr>
          <w:p w14:paraId="122501A9" w14:textId="77777777" w:rsidR="009D22AB" w:rsidRPr="002D6104" w:rsidRDefault="009D22AB" w:rsidP="009D22AB">
            <w:pPr>
              <w:rPr>
                <w:rFonts w:cs="Times New Roman"/>
              </w:rPr>
            </w:pPr>
            <w:r w:rsidRPr="002D6104">
              <w:rPr>
                <w:rFonts w:eastAsia="Times New Roman" w:cs="Times New Roman"/>
              </w:rPr>
              <w:t>California, like many other states, allows CRNAs to administer anesthesia without physician supervision. That practice is supported by the fact that CRNAs are independent practitioners who are legally responsible for their own actions</w:t>
            </w:r>
            <w:r w:rsidR="002D6104" w:rsidRPr="002D6104">
              <w:rPr>
                <w:rFonts w:eastAsia="Times New Roman" w:cs="Times New Roman"/>
              </w:rPr>
              <w:t>.</w:t>
            </w:r>
            <w:r w:rsidR="002D6104" w:rsidRPr="002D6104">
              <w:rPr>
                <w:rFonts w:cs="Times New Roman"/>
                <w:b/>
              </w:rPr>
              <w:t xml:space="preserve"> (3)</w:t>
            </w:r>
          </w:p>
        </w:tc>
        <w:tc>
          <w:tcPr>
            <w:tcW w:w="1639" w:type="dxa"/>
            <w:vMerge w:val="restart"/>
          </w:tcPr>
          <w:p w14:paraId="30BD5A0E" w14:textId="77777777" w:rsidR="009D22AB" w:rsidRPr="002D6104" w:rsidRDefault="009D22AB" w:rsidP="009D22AB">
            <w:pPr>
              <w:rPr>
                <w:rFonts w:cs="Times New Roman"/>
              </w:rPr>
            </w:pPr>
          </w:p>
        </w:tc>
      </w:tr>
      <w:tr w:rsidR="009D22AB" w:rsidRPr="002D6104" w14:paraId="51BE572F" w14:textId="77777777" w:rsidTr="00B96079">
        <w:trPr>
          <w:trHeight w:val="2874"/>
        </w:trPr>
        <w:tc>
          <w:tcPr>
            <w:tcW w:w="763" w:type="dxa"/>
            <w:tcBorders>
              <w:top w:val="single" w:sz="6" w:space="0" w:color="auto"/>
            </w:tcBorders>
          </w:tcPr>
          <w:p w14:paraId="5D9C6A49" w14:textId="77777777" w:rsidR="009D22AB" w:rsidRPr="002D6104" w:rsidRDefault="009D22AB" w:rsidP="009D22AB">
            <w:pPr>
              <w:rPr>
                <w:rFonts w:cs="Times New Roman"/>
              </w:rPr>
            </w:pPr>
            <w:r w:rsidRPr="002D6104">
              <w:rPr>
                <w:rFonts w:cs="Times New Roman"/>
              </w:rPr>
              <w:t>CNM</w:t>
            </w:r>
          </w:p>
        </w:tc>
        <w:tc>
          <w:tcPr>
            <w:tcW w:w="2423" w:type="dxa"/>
            <w:tcBorders>
              <w:top w:val="single" w:sz="6" w:space="0" w:color="auto"/>
            </w:tcBorders>
          </w:tcPr>
          <w:p w14:paraId="54A65C8B" w14:textId="77777777" w:rsidR="009D22AB" w:rsidRPr="002D6104" w:rsidRDefault="00B275B2" w:rsidP="009D22AB">
            <w:pPr>
              <w:rPr>
                <w:rFonts w:eastAsia="Times New Roman" w:cs="Times New Roman"/>
                <w:b/>
                <w:shd w:val="clear" w:color="auto" w:fill="FFFFFF"/>
              </w:rPr>
            </w:pPr>
            <w:r w:rsidRPr="002D6104">
              <w:rPr>
                <w:rFonts w:eastAsia="Times New Roman" w:cs="Times New Roman"/>
                <w:shd w:val="clear" w:color="auto" w:fill="FFFFFF"/>
              </w:rPr>
              <w:t>Outpatient clinics, private offices, community &amp; public health centers, birth centers, homes, hospitals, and more.</w:t>
            </w:r>
            <w:r w:rsidR="002D6104" w:rsidRPr="002D6104">
              <w:rPr>
                <w:rFonts w:eastAsia="Times New Roman" w:cs="Times New Roman"/>
                <w:shd w:val="clear" w:color="auto" w:fill="FFFFFF"/>
              </w:rPr>
              <w:t xml:space="preserve"> </w:t>
            </w:r>
            <w:r w:rsidR="002D6104" w:rsidRPr="002D6104">
              <w:rPr>
                <w:rFonts w:eastAsia="Times New Roman" w:cs="Times New Roman"/>
                <w:b/>
                <w:shd w:val="clear" w:color="auto" w:fill="FFFFFF"/>
              </w:rPr>
              <w:t>(5)</w:t>
            </w:r>
          </w:p>
          <w:p w14:paraId="0D391B2A" w14:textId="77777777" w:rsidR="00B275B2" w:rsidRPr="002D6104" w:rsidRDefault="00B275B2" w:rsidP="009D22AB">
            <w:pPr>
              <w:rPr>
                <w:rFonts w:cs="Times New Roman"/>
              </w:rPr>
            </w:pPr>
          </w:p>
        </w:tc>
        <w:tc>
          <w:tcPr>
            <w:tcW w:w="3045" w:type="dxa"/>
            <w:tcBorders>
              <w:top w:val="single" w:sz="6" w:space="0" w:color="auto"/>
            </w:tcBorders>
          </w:tcPr>
          <w:p w14:paraId="62D3C57D" w14:textId="77777777" w:rsidR="00B275B2" w:rsidRPr="002D6104" w:rsidRDefault="00B275B2" w:rsidP="00B275B2">
            <w:pPr>
              <w:rPr>
                <w:rFonts w:eastAsia="Times New Roman" w:cs="Times New Roman"/>
              </w:rPr>
            </w:pPr>
            <w:r w:rsidRPr="002D6104">
              <w:rPr>
                <w:rFonts w:eastAsia="Times New Roman" w:cs="Times New Roman"/>
                <w:shd w:val="clear" w:color="auto" w:fill="FFFFFF"/>
              </w:rPr>
              <w:t xml:space="preserve">CNMs are RN’s educated in two disciplines of midwifery and nursing </w:t>
            </w:r>
            <w:proofErr w:type="gramStart"/>
            <w:r w:rsidRPr="002D6104">
              <w:rPr>
                <w:rFonts w:eastAsia="Times New Roman" w:cs="Times New Roman"/>
                <w:shd w:val="clear" w:color="auto" w:fill="FFFFFF"/>
              </w:rPr>
              <w:t>who</w:t>
            </w:r>
            <w:proofErr w:type="gramEnd"/>
            <w:r w:rsidRPr="002D6104">
              <w:rPr>
                <w:rFonts w:eastAsia="Times New Roman" w:cs="Times New Roman"/>
                <w:shd w:val="clear" w:color="auto" w:fill="FFFFFF"/>
              </w:rPr>
              <w:t xml:space="preserve"> attend graduate education programs approved by the Accreditation Commission for Midwifery Education (ACME). They are licensed and have prescriptive authority in every state.</w:t>
            </w:r>
            <w:r w:rsidR="002D6104" w:rsidRPr="002D6104">
              <w:rPr>
                <w:rFonts w:eastAsia="Times New Roman" w:cs="Times New Roman"/>
                <w:shd w:val="clear" w:color="auto" w:fill="FFFFFF"/>
              </w:rPr>
              <w:t xml:space="preserve"> </w:t>
            </w:r>
            <w:r w:rsidR="002D6104" w:rsidRPr="002D6104">
              <w:rPr>
                <w:rFonts w:cs="Times New Roman"/>
                <w:b/>
              </w:rPr>
              <w:t>(5)</w:t>
            </w:r>
          </w:p>
          <w:p w14:paraId="714C4531" w14:textId="77777777" w:rsidR="009D22AB" w:rsidRPr="002D6104" w:rsidRDefault="009D22AB" w:rsidP="009D22AB">
            <w:pPr>
              <w:rPr>
                <w:rFonts w:eastAsia="Times New Roman" w:cs="Times New Roman"/>
              </w:rPr>
            </w:pPr>
          </w:p>
        </w:tc>
        <w:tc>
          <w:tcPr>
            <w:tcW w:w="2158" w:type="dxa"/>
            <w:tcBorders>
              <w:top w:val="single" w:sz="6" w:space="0" w:color="auto"/>
            </w:tcBorders>
          </w:tcPr>
          <w:p w14:paraId="16076183" w14:textId="77777777" w:rsidR="009D22AB" w:rsidRPr="002D6104" w:rsidRDefault="00F05FF7" w:rsidP="009D22AB">
            <w:pPr>
              <w:rPr>
                <w:rFonts w:eastAsia="Times New Roman" w:cs="Times New Roman"/>
                <w:shd w:val="clear" w:color="auto" w:fill="FFFFFF"/>
              </w:rPr>
            </w:pPr>
            <w:r w:rsidRPr="002D6104">
              <w:rPr>
                <w:rFonts w:eastAsia="Times New Roman" w:cs="Times New Roman"/>
              </w:rPr>
              <w:t>Pr</w:t>
            </w:r>
            <w:r w:rsidR="002D6104">
              <w:rPr>
                <w:rFonts w:eastAsia="Times New Roman" w:cs="Times New Roman"/>
              </w:rPr>
              <w:t xml:space="preserve">imary care &amp; GYN care for women: </w:t>
            </w:r>
            <w:r w:rsidRPr="002D6104">
              <w:rPr>
                <w:rFonts w:eastAsia="Times New Roman" w:cs="Times New Roman"/>
              </w:rPr>
              <w:t>obstetric care: antepartum, intra-partum, postpartum and newborn care.</w:t>
            </w:r>
          </w:p>
        </w:tc>
        <w:tc>
          <w:tcPr>
            <w:tcW w:w="1376" w:type="dxa"/>
            <w:tcBorders>
              <w:top w:val="single" w:sz="6" w:space="0" w:color="auto"/>
            </w:tcBorders>
          </w:tcPr>
          <w:p w14:paraId="3434AA0B" w14:textId="77777777" w:rsidR="009D22AB"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Range: $111,789 to $137,765</w:t>
            </w:r>
          </w:p>
          <w:p w14:paraId="636C3E76" w14:textId="77777777" w:rsidR="00212940" w:rsidRPr="002D6104" w:rsidRDefault="00212940" w:rsidP="009D22AB">
            <w:pPr>
              <w:rPr>
                <w:rFonts w:eastAsia="Times New Roman" w:cs="Times New Roman"/>
                <w:shd w:val="clear" w:color="auto" w:fill="FFFFFF"/>
              </w:rPr>
            </w:pPr>
          </w:p>
          <w:p w14:paraId="4AA5263C" w14:textId="77777777" w:rsidR="00212940"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*California:</w:t>
            </w:r>
          </w:p>
          <w:p w14:paraId="3CB89ED1" w14:textId="77777777" w:rsidR="00212940" w:rsidRPr="002D6104" w:rsidRDefault="00212940" w:rsidP="009D22AB">
            <w:pPr>
              <w:rPr>
                <w:rFonts w:eastAsia="Times New Roman" w:cs="Times New Roman"/>
                <w:shd w:val="clear" w:color="auto" w:fill="FFFFFF"/>
              </w:rPr>
            </w:pPr>
            <w:r w:rsidRPr="002D6104">
              <w:rPr>
                <w:rFonts w:eastAsia="Times New Roman" w:cs="Times New Roman"/>
                <w:shd w:val="clear" w:color="auto" w:fill="FFFFFF"/>
              </w:rPr>
              <w:t>$121,575</w:t>
            </w:r>
          </w:p>
          <w:p w14:paraId="11B19BA9" w14:textId="77777777" w:rsidR="002D6104" w:rsidRPr="002D6104" w:rsidRDefault="002D6104" w:rsidP="009D22AB">
            <w:pPr>
              <w:rPr>
                <w:rFonts w:eastAsia="Times New Roman" w:cs="Times New Roman"/>
                <w:shd w:val="clear" w:color="auto" w:fill="FFFFFF"/>
              </w:rPr>
            </w:pPr>
            <w:r w:rsidRPr="002D6104">
              <w:rPr>
                <w:rFonts w:eastAsia="Times New Roman" w:cs="Times New Roman"/>
                <w:b/>
                <w:shd w:val="clear" w:color="auto" w:fill="FFFFFF"/>
              </w:rPr>
              <w:t>(4)</w:t>
            </w:r>
          </w:p>
        </w:tc>
        <w:tc>
          <w:tcPr>
            <w:tcW w:w="2420" w:type="dxa"/>
            <w:tcBorders>
              <w:top w:val="single" w:sz="6" w:space="0" w:color="auto"/>
            </w:tcBorders>
          </w:tcPr>
          <w:p w14:paraId="65AD4CCD" w14:textId="77777777" w:rsidR="009D22AB" w:rsidRPr="002D6104" w:rsidRDefault="009D22AB" w:rsidP="009D22AB">
            <w:pPr>
              <w:rPr>
                <w:rFonts w:eastAsia="Times New Roman" w:cs="Times New Roman"/>
              </w:rPr>
            </w:pPr>
            <w:r w:rsidRPr="002D6104">
              <w:rPr>
                <w:rFonts w:eastAsia="Times New Roman" w:cs="Times New Roman"/>
                <w:shd w:val="clear" w:color="auto" w:fill="FFFFFF"/>
              </w:rPr>
              <w:t xml:space="preserve">California, by law, CNM care requires the supervision of a licensed physician &amp; surgeon, but not require physical presence of the physician. </w:t>
            </w:r>
            <w:r w:rsidR="00C478DB">
              <w:rPr>
                <w:rFonts w:cs="Times New Roman"/>
                <w:b/>
              </w:rPr>
              <w:t>(5)</w:t>
            </w:r>
          </w:p>
          <w:p w14:paraId="44684D55" w14:textId="77777777" w:rsidR="009D22AB" w:rsidRPr="002D6104" w:rsidRDefault="009D22AB" w:rsidP="009D22AB">
            <w:pPr>
              <w:rPr>
                <w:rFonts w:cs="Times New Roman"/>
              </w:rPr>
            </w:pPr>
          </w:p>
          <w:p w14:paraId="706B8F31" w14:textId="77777777" w:rsidR="009D22AB" w:rsidRPr="002D6104" w:rsidRDefault="009D22AB" w:rsidP="009D22AB">
            <w:pPr>
              <w:rPr>
                <w:rFonts w:eastAsia="Times New Roman" w:cs="Times New Roman"/>
              </w:rPr>
            </w:pPr>
          </w:p>
        </w:tc>
        <w:tc>
          <w:tcPr>
            <w:tcW w:w="1639" w:type="dxa"/>
            <w:vMerge/>
          </w:tcPr>
          <w:p w14:paraId="6961386B" w14:textId="77777777" w:rsidR="009D22AB" w:rsidRPr="002D6104" w:rsidRDefault="009D22AB" w:rsidP="009D22AB">
            <w:pPr>
              <w:rPr>
                <w:rFonts w:cs="Times New Roman"/>
              </w:rPr>
            </w:pPr>
          </w:p>
        </w:tc>
      </w:tr>
    </w:tbl>
    <w:tbl>
      <w:tblPr>
        <w:tblStyle w:val="LightShading"/>
        <w:tblW w:w="12200" w:type="dxa"/>
        <w:tblInd w:w="-1406" w:type="dxa"/>
        <w:tblLayout w:type="fixed"/>
        <w:tblLook w:val="0020" w:firstRow="1" w:lastRow="0" w:firstColumn="0" w:lastColumn="0" w:noHBand="0" w:noVBand="0"/>
      </w:tblPr>
      <w:tblGrid>
        <w:gridCol w:w="614"/>
        <w:gridCol w:w="2340"/>
        <w:gridCol w:w="3060"/>
        <w:gridCol w:w="2160"/>
        <w:gridCol w:w="1350"/>
        <w:gridCol w:w="2340"/>
        <w:gridCol w:w="336"/>
      </w:tblGrid>
      <w:tr w:rsidR="00B96079" w:rsidRPr="002D6104" w14:paraId="582CF433" w14:textId="77777777" w:rsidTr="00B96079">
        <w:trPr>
          <w:cnfStyle w:val="100000000000" w:firstRow="1" w:lastRow="0" w:firstColumn="0" w:lastColumn="0" w:oddVBand="0" w:evenVBand="0" w:oddHBand="0" w:evenHBand="0" w:firstRowFirstColumn="0" w:firstRowLastColumn="0" w:lastRowFirstColumn="0" w:lastRowLastColumn="0"/>
          <w:trHeight w:val="1150"/>
        </w:trPr>
        <w:tc>
          <w:tcPr>
            <w:cnfStyle w:val="000010000000" w:firstRow="0" w:lastRow="0" w:firstColumn="0" w:lastColumn="0" w:oddVBand="1" w:evenVBand="0" w:oddHBand="0" w:evenHBand="0" w:firstRowFirstColumn="0" w:firstRowLastColumn="0" w:lastRowFirstColumn="0" w:lastRowLastColumn="0"/>
            <w:tcW w:w="614" w:type="dxa"/>
            <w:tcBorders>
              <w:bottom w:val="single" w:sz="6" w:space="0" w:color="auto"/>
            </w:tcBorders>
          </w:tcPr>
          <w:p w14:paraId="0E2378A6" w14:textId="77777777" w:rsidR="00B96079" w:rsidRPr="002D6104" w:rsidRDefault="00B96079">
            <w:pPr>
              <w:rPr>
                <w:rFonts w:cs="Times New Roman"/>
              </w:rPr>
            </w:pPr>
          </w:p>
        </w:tc>
        <w:tc>
          <w:tcPr>
            <w:tcW w:w="2340" w:type="dxa"/>
          </w:tcPr>
          <w:p w14:paraId="01D8323A" w14:textId="77777777" w:rsidR="00B96079" w:rsidRPr="002D6104" w:rsidRDefault="00B96079">
            <w:pPr>
              <w:cnfStyle w:val="100000000000" w:firstRow="1" w:lastRow="0" w:firstColumn="0" w:lastColumn="0" w:oddVBand="0" w:evenVBand="0" w:oddHBand="0" w:evenHBand="0" w:firstRowFirstColumn="0" w:firstRowLastColumn="0" w:lastRowFirstColumn="0" w:lastRowLastColumn="0"/>
              <w:rPr>
                <w:rFonts w:cs="Times New Roman"/>
              </w:rPr>
            </w:pPr>
            <w:r w:rsidRPr="002D6104">
              <w:rPr>
                <w:rFonts w:cs="Times New Roman"/>
              </w:rPr>
              <w:t>Work Environment</w:t>
            </w:r>
          </w:p>
        </w:tc>
        <w:tc>
          <w:tcPr>
            <w:cnfStyle w:val="000010000000" w:firstRow="0" w:lastRow="0" w:firstColumn="0" w:lastColumn="0" w:oddVBand="1" w:evenVBand="0" w:oddHBand="0" w:evenHBand="0" w:firstRowFirstColumn="0" w:firstRowLastColumn="0" w:lastRowFirstColumn="0" w:lastRowLastColumn="0"/>
            <w:tcW w:w="3060" w:type="dxa"/>
          </w:tcPr>
          <w:p w14:paraId="5E0B9E34" w14:textId="77777777" w:rsidR="00B96079" w:rsidRPr="002D6104" w:rsidRDefault="00B96079">
            <w:pPr>
              <w:rPr>
                <w:rFonts w:cs="Times New Roman"/>
              </w:rPr>
            </w:pPr>
            <w:r w:rsidRPr="002D6104">
              <w:rPr>
                <w:rFonts w:cs="Times New Roman"/>
              </w:rPr>
              <w:t>Level of Accountability</w:t>
            </w:r>
          </w:p>
        </w:tc>
        <w:tc>
          <w:tcPr>
            <w:tcW w:w="2160" w:type="dxa"/>
          </w:tcPr>
          <w:p w14:paraId="7EC12780" w14:textId="77777777" w:rsidR="00B96079" w:rsidRPr="002D6104" w:rsidRDefault="00B96079">
            <w:pPr>
              <w:cnfStyle w:val="100000000000" w:firstRow="1" w:lastRow="0" w:firstColumn="0" w:lastColumn="0" w:oddVBand="0" w:evenVBand="0" w:oddHBand="0" w:evenHBand="0" w:firstRowFirstColumn="0" w:firstRowLastColumn="0" w:lastRowFirstColumn="0" w:lastRowLastColumn="0"/>
              <w:rPr>
                <w:rFonts w:cs="Times New Roman"/>
              </w:rPr>
            </w:pPr>
            <w:r w:rsidRPr="002D6104">
              <w:rPr>
                <w:rFonts w:cs="Times New Roman"/>
              </w:rPr>
              <w:t>Patient Population</w:t>
            </w:r>
          </w:p>
        </w:tc>
        <w:tc>
          <w:tcPr>
            <w:cnfStyle w:val="000010000000" w:firstRow="0" w:lastRow="0" w:firstColumn="0" w:lastColumn="0" w:oddVBand="1" w:evenVBand="0" w:oddHBand="0" w:evenHBand="0" w:firstRowFirstColumn="0" w:firstRowLastColumn="0" w:lastRowFirstColumn="0" w:lastRowLastColumn="0"/>
            <w:tcW w:w="1350" w:type="dxa"/>
          </w:tcPr>
          <w:p w14:paraId="53155EF2" w14:textId="77777777" w:rsidR="00B96079" w:rsidRPr="002D6104" w:rsidRDefault="00B96079">
            <w:pPr>
              <w:rPr>
                <w:rFonts w:cs="Times New Roman"/>
              </w:rPr>
            </w:pPr>
            <w:r w:rsidRPr="002D6104">
              <w:rPr>
                <w:rFonts w:cs="Times New Roman"/>
              </w:rPr>
              <w:t>Salary</w:t>
            </w:r>
          </w:p>
        </w:tc>
        <w:tc>
          <w:tcPr>
            <w:tcW w:w="2340" w:type="dxa"/>
            <w:tcBorders>
              <w:right w:val="single" w:sz="6" w:space="0" w:color="auto"/>
            </w:tcBorders>
          </w:tcPr>
          <w:p w14:paraId="75E85715" w14:textId="77777777" w:rsidR="00B96079" w:rsidRPr="002D6104" w:rsidRDefault="00B96079" w:rsidP="00B96079">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2D6104">
              <w:rPr>
                <w:rFonts w:cs="Times New Roman"/>
              </w:rPr>
              <w:t>Scope of Practice</w:t>
            </w:r>
          </w:p>
        </w:tc>
        <w:tc>
          <w:tcPr>
            <w:cnfStyle w:val="000010000000" w:firstRow="0" w:lastRow="0" w:firstColumn="0" w:lastColumn="0" w:oddVBand="1" w:evenVBand="0" w:oddHBand="0" w:evenHBand="0" w:firstRowFirstColumn="0" w:firstRowLastColumn="0" w:lastRowFirstColumn="0" w:lastRowLastColumn="0"/>
            <w:tcW w:w="336" w:type="dxa"/>
            <w:tcBorders>
              <w:left w:val="single" w:sz="6" w:space="0" w:color="auto"/>
            </w:tcBorders>
          </w:tcPr>
          <w:p w14:paraId="6D61B36B" w14:textId="77777777" w:rsidR="00B96079" w:rsidRPr="002D6104" w:rsidRDefault="00B96079" w:rsidP="00B96079">
            <w:pPr>
              <w:rPr>
                <w:rFonts w:cs="Times New Roman"/>
              </w:rPr>
            </w:pPr>
          </w:p>
        </w:tc>
      </w:tr>
    </w:tbl>
    <w:p w14:paraId="4FA12AC2" w14:textId="77777777" w:rsidR="00425238" w:rsidRDefault="00425238" w:rsidP="00D706B1"/>
    <w:sectPr w:rsidR="00425238" w:rsidSect="00D706B1">
      <w:pgSz w:w="12240" w:h="15840"/>
      <w:pgMar w:top="-936" w:right="1944"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975B4"/>
    <w:multiLevelType w:val="multilevel"/>
    <w:tmpl w:val="72D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55235"/>
    <w:rsid w:val="00171005"/>
    <w:rsid w:val="001F2FD1"/>
    <w:rsid w:val="00212940"/>
    <w:rsid w:val="002578E1"/>
    <w:rsid w:val="002D6104"/>
    <w:rsid w:val="003F6903"/>
    <w:rsid w:val="00425238"/>
    <w:rsid w:val="007D6DEF"/>
    <w:rsid w:val="008B4C81"/>
    <w:rsid w:val="008D46F7"/>
    <w:rsid w:val="0094298B"/>
    <w:rsid w:val="009D22AB"/>
    <w:rsid w:val="00B275B2"/>
    <w:rsid w:val="00B96079"/>
    <w:rsid w:val="00C46EF7"/>
    <w:rsid w:val="00C478DB"/>
    <w:rsid w:val="00CC7EC0"/>
    <w:rsid w:val="00D224E2"/>
    <w:rsid w:val="00D706B1"/>
    <w:rsid w:val="00D91EE3"/>
    <w:rsid w:val="00DE1DCF"/>
    <w:rsid w:val="00F0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84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D46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46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D46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D46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Shelton</dc:creator>
  <cp:keywords/>
  <dc:description/>
  <cp:lastModifiedBy>Brian Shelton</cp:lastModifiedBy>
  <cp:revision>5</cp:revision>
  <dcterms:created xsi:type="dcterms:W3CDTF">2019-11-05T05:00:00Z</dcterms:created>
  <dcterms:modified xsi:type="dcterms:W3CDTF">2019-11-05T05:15:00Z</dcterms:modified>
</cp:coreProperties>
</file>